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7DA" w14:textId="5B12739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r w:rsidR="00E1205E" w:rsidRPr="00E1205E">
        <w:rPr>
          <w:rFonts w:ascii="Arial Narrow" w:eastAsia="Calibri" w:hAnsi="Arial Narrow" w:cs="Times New Roman"/>
          <w:lang w:val="es-MX"/>
        </w:rPr>
        <w:t xml:space="preserve">A TRAVÉS DE LA </w:t>
      </w:r>
      <w:r w:rsidR="00E1205E" w:rsidRPr="00E1205E">
        <w:rPr>
          <w:rFonts w:ascii="Arial Narrow" w:eastAsia="Calibri" w:hAnsi="Arial Narrow" w:cs="Times New Roman"/>
          <w:b/>
          <w:lang w:val="es-MX"/>
        </w:rPr>
        <w:t>SECRETARÍA DE COMUNICACIONES Y OBRAS PÚBLICAS DEL ESTADO DE DURANGO</w:t>
      </w:r>
      <w:r w:rsidR="00E1205E" w:rsidRPr="00E1205E">
        <w:rPr>
          <w:rFonts w:ascii="Arial Narrow" w:eastAsia="Calibri" w:hAnsi="Arial Narrow" w:cs="Times New Roman"/>
          <w:lang w:val="es-MX"/>
        </w:rPr>
        <w:t xml:space="preserve">, REPRESENTADA POR LA </w:t>
      </w:r>
      <w:r w:rsidR="00E1205E" w:rsidRPr="00E1205E">
        <w:rPr>
          <w:rFonts w:ascii="Arial Narrow" w:eastAsia="Calibri" w:hAnsi="Arial Narrow" w:cs="Times New Roman"/>
          <w:b/>
          <w:lang w:val="es-MX"/>
        </w:rPr>
        <w:t>C. ARQ. ANA ROSA HERNANDEZ RENTERIA</w:t>
      </w:r>
      <w:r w:rsidR="00E1205E" w:rsidRPr="00E1205E">
        <w:rPr>
          <w:rFonts w:ascii="Arial Narrow" w:eastAsia="Calibri" w:hAnsi="Arial Narrow" w:cs="Times New Roman"/>
          <w:lang w:val="es-MX"/>
        </w:rPr>
        <w:t xml:space="preserve">, EN SU CARÁCTER DE SECRETARIA, EN PARTICIPACION CONJUNTA CON EL </w:t>
      </w:r>
      <w:r w:rsidR="00E1205E" w:rsidRPr="00E1205E">
        <w:rPr>
          <w:rFonts w:ascii="Arial Narrow" w:eastAsia="Calibri" w:hAnsi="Arial Narrow" w:cs="Times New Roman"/>
          <w:b/>
          <w:lang w:val="es-MX"/>
        </w:rPr>
        <w:t>SISTEMA PARA EL DESARROLLO INTEGRAL DE LA FAMILIA DEL ESTADO DE DURANGO</w:t>
      </w:r>
      <w:r w:rsidR="00E1205E" w:rsidRPr="00E1205E">
        <w:rPr>
          <w:rFonts w:ascii="Arial Narrow" w:eastAsia="Calibri" w:hAnsi="Arial Narrow" w:cs="Times New Roman"/>
          <w:lang w:val="es-MX"/>
        </w:rPr>
        <w:t xml:space="preserve">, REPRESENTADO POR LA </w:t>
      </w:r>
      <w:r w:rsidR="00E1205E">
        <w:rPr>
          <w:rFonts w:ascii="Arial Narrow" w:eastAsia="Calibri" w:hAnsi="Arial Narrow" w:cs="Times New Roman"/>
          <w:b/>
          <w:lang w:val="es-MX"/>
        </w:rPr>
        <w:t>D.E. MARTHA ELIA MUÑÓZ MARTÍNEZ</w:t>
      </w:r>
      <w:r w:rsidR="00E1205E" w:rsidRPr="00E1205E">
        <w:rPr>
          <w:rFonts w:ascii="Arial Narrow" w:eastAsia="Calibri" w:hAnsi="Arial Narrow" w:cs="Times New Roman"/>
          <w:lang w:val="es-MX"/>
        </w:rPr>
        <w:t xml:space="preserve"> EN SU CARÁCTER DE DIRECTORA GENERAL Y POR LA OTRA EL </w:t>
      </w:r>
      <w:r w:rsidR="00E1205E">
        <w:rPr>
          <w:rFonts w:ascii="Arial Narrow" w:eastAsia="Calibri" w:hAnsi="Arial Narrow" w:cs="Times New Roman"/>
          <w:lang w:val="es-MX"/>
        </w:rPr>
        <w:t xml:space="preserve">-------------- </w:t>
      </w:r>
      <w:r w:rsidR="00E1205E" w:rsidRPr="00E1205E">
        <w:rPr>
          <w:rFonts w:ascii="Arial Narrow" w:eastAsia="Calibri" w:hAnsi="Arial Narrow" w:cs="Times New Roman"/>
          <w:lang w:val="es-MX"/>
        </w:rPr>
        <w:t>EN SU CARÁCTER DE PERSONA FÍSICA, A QUIENES EN LO SUCESIVO, Y PARA LOS EFECTOS DE ESTE CONTRATO SE LES DENOMINARÁ “</w:t>
      </w:r>
      <w:r w:rsidR="00E1205E" w:rsidRPr="00E1205E">
        <w:rPr>
          <w:rFonts w:ascii="Arial Narrow" w:eastAsia="Calibri" w:hAnsi="Arial Narrow" w:cs="Times New Roman"/>
          <w:b/>
          <w:lang w:val="es-MX"/>
        </w:rPr>
        <w:t>LA DEPENDENCIA”, “EL DIF ESTATAL” Y “EL CONTRATISTA”</w:t>
      </w:r>
      <w:r w:rsidR="00E1205E" w:rsidRPr="00E1205E">
        <w:rPr>
          <w:rFonts w:ascii="Arial Narrow" w:eastAsia="Calibri" w:hAnsi="Arial Narrow" w:cs="Times New Roman"/>
          <w:lang w:val="es-MX"/>
        </w:rPr>
        <w:t>, RESPECTIVAMENTE, DE ACUERDO CON LAS SIGUIENTES DECLARACIONES Y CLÁUSULAS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0D92552C"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2C6066C" w14:textId="77777777" w:rsidR="00E1205E" w:rsidRDefault="00EE552E" w:rsidP="00E1205E">
      <w:pPr>
        <w:spacing w:line="276" w:lineRule="auto"/>
        <w:jc w:val="both"/>
        <w:rPr>
          <w:rFonts w:ascii="Arial" w:hAnsi="Arial" w:cs="Arial"/>
          <w:sz w:val="20"/>
          <w:szCs w:val="20"/>
        </w:rPr>
      </w:pPr>
      <w:r w:rsidRPr="00E1205E">
        <w:rPr>
          <w:rFonts w:ascii="Arial" w:hAnsi="Arial" w:cs="Arial"/>
          <w:sz w:val="20"/>
          <w:szCs w:val="20"/>
        </w:rPr>
        <w:lastRenderedPageBreak/>
        <w:t>1.3.</w:t>
      </w:r>
      <w:r w:rsidR="00415D7C" w:rsidRPr="00E1205E">
        <w:rPr>
          <w:rFonts w:ascii="Arial" w:hAnsi="Arial" w:cs="Arial"/>
          <w:sz w:val="20"/>
          <w:szCs w:val="20"/>
        </w:rPr>
        <w:t xml:space="preserve">- </w:t>
      </w:r>
      <w:r w:rsidR="00E1205E" w:rsidRPr="00E1205E">
        <w:rPr>
          <w:rFonts w:ascii="Arial" w:hAnsi="Arial" w:cs="Arial"/>
          <w:sz w:val="20"/>
          <w:szCs w:val="20"/>
          <w:lang w:val="es-MX"/>
        </w:rPr>
        <w:t xml:space="preserve">Suscribe, en unión de la </w:t>
      </w:r>
      <w:proofErr w:type="gramStart"/>
      <w:r w:rsidR="00E1205E" w:rsidRPr="00E1205E">
        <w:rPr>
          <w:rFonts w:ascii="Arial" w:hAnsi="Arial" w:cs="Arial"/>
          <w:sz w:val="20"/>
          <w:szCs w:val="20"/>
          <w:lang w:val="es-MX"/>
        </w:rPr>
        <w:t>Secretar</w:t>
      </w:r>
      <w:r w:rsidR="00E1205E">
        <w:rPr>
          <w:rFonts w:ascii="Arial" w:hAnsi="Arial" w:cs="Arial"/>
          <w:sz w:val="20"/>
          <w:szCs w:val="20"/>
          <w:lang w:val="es-MX"/>
        </w:rPr>
        <w:t>i</w:t>
      </w:r>
      <w:r w:rsidR="00E1205E" w:rsidRPr="00E1205E">
        <w:rPr>
          <w:rFonts w:ascii="Arial" w:hAnsi="Arial" w:cs="Arial"/>
          <w:sz w:val="20"/>
          <w:szCs w:val="20"/>
          <w:lang w:val="es-MX"/>
        </w:rPr>
        <w:t>a</w:t>
      </w:r>
      <w:proofErr w:type="gramEnd"/>
      <w:r w:rsidR="00E1205E" w:rsidRPr="00E1205E">
        <w:rPr>
          <w:rFonts w:ascii="Arial" w:hAnsi="Arial" w:cs="Arial"/>
          <w:sz w:val="20"/>
          <w:szCs w:val="20"/>
          <w:lang w:val="es-MX"/>
        </w:rPr>
        <w:t xml:space="preserve">, el presente instrumento el </w:t>
      </w:r>
      <w:r w:rsidR="00E1205E" w:rsidRPr="00E1205E">
        <w:rPr>
          <w:rFonts w:ascii="Arial" w:hAnsi="Arial" w:cs="Arial"/>
          <w:b/>
          <w:bCs/>
          <w:sz w:val="20"/>
          <w:szCs w:val="20"/>
          <w:lang w:val="es-MX"/>
        </w:rPr>
        <w:t xml:space="preserve">C. ARQ. JUAN ARTURO VILLEGAS FLORES, </w:t>
      </w:r>
      <w:r w:rsidR="00E1205E" w:rsidRPr="00E1205E">
        <w:rPr>
          <w:rFonts w:ascii="Arial" w:hAnsi="Arial" w:cs="Arial"/>
          <w:sz w:val="20"/>
          <w:szCs w:val="20"/>
          <w:lang w:val="es-MX"/>
        </w:rPr>
        <w:t xml:space="preserve">haciéndolo con el carácter de Subsecretario de planeación y Edificación, con R.F.C. </w:t>
      </w:r>
      <w:r w:rsidR="00E1205E" w:rsidRPr="00E1205E">
        <w:rPr>
          <w:rFonts w:ascii="Arial" w:hAnsi="Arial" w:cs="Arial"/>
          <w:b/>
          <w:bCs/>
          <w:sz w:val="20"/>
          <w:szCs w:val="20"/>
          <w:lang w:val="es-MX"/>
        </w:rPr>
        <w:t>VIFJ880527GP7</w:t>
      </w:r>
      <w:r w:rsidR="00415D7C" w:rsidRPr="00E1205E">
        <w:rPr>
          <w:rFonts w:ascii="Arial" w:hAnsi="Arial" w:cs="Arial"/>
          <w:sz w:val="20"/>
          <w:szCs w:val="20"/>
        </w:rPr>
        <w:t>.</w:t>
      </w:r>
    </w:p>
    <w:p w14:paraId="28CFFFA5" w14:textId="77777777" w:rsidR="00E1205E" w:rsidRDefault="00E1205E" w:rsidP="00E1205E">
      <w:pPr>
        <w:spacing w:line="276" w:lineRule="auto"/>
        <w:jc w:val="both"/>
        <w:rPr>
          <w:rFonts w:ascii="Arial" w:hAnsi="Arial" w:cs="Arial"/>
          <w:sz w:val="20"/>
          <w:szCs w:val="20"/>
        </w:rPr>
      </w:pPr>
    </w:p>
    <w:p w14:paraId="5F586E44" w14:textId="4D24FF85" w:rsidR="00E1205E" w:rsidRDefault="007555DE" w:rsidP="00E1205E">
      <w:pPr>
        <w:spacing w:line="276" w:lineRule="auto"/>
        <w:jc w:val="both"/>
        <w:rPr>
          <w:rFonts w:ascii="Arial" w:hAnsi="Arial" w:cs="Arial"/>
          <w:sz w:val="20"/>
          <w:szCs w:val="20"/>
        </w:rPr>
      </w:pPr>
      <w:r>
        <w:rPr>
          <w:rFonts w:ascii="Arial" w:hAnsi="Arial" w:cs="Arial"/>
          <w:sz w:val="20"/>
          <w:szCs w:val="20"/>
        </w:rPr>
        <w:t xml:space="preserve">1.4.- </w:t>
      </w:r>
      <w:r w:rsidR="00E1205E" w:rsidRPr="001C0789">
        <w:rPr>
          <w:rFonts w:ascii="Arial" w:hAnsi="Arial" w:cs="Arial"/>
          <w:sz w:val="20"/>
          <w:szCs w:val="20"/>
        </w:rPr>
        <w:t xml:space="preserve">La adjudicación del presente contrato se realizó mediante el procedimiento de </w:t>
      </w:r>
      <w:r w:rsidR="00E1205E">
        <w:rPr>
          <w:rFonts w:ascii="Arial" w:hAnsi="Arial" w:cs="Arial"/>
          <w:sz w:val="20"/>
          <w:szCs w:val="20"/>
        </w:rPr>
        <w:t xml:space="preserve">INVITACION A CUANDO MENOS TRES PERSONAS </w:t>
      </w:r>
      <w:proofErr w:type="gramStart"/>
      <w:r w:rsidR="00E1205E" w:rsidRPr="001C0789">
        <w:rPr>
          <w:rFonts w:ascii="Arial" w:hAnsi="Arial" w:cs="Arial"/>
          <w:sz w:val="20"/>
          <w:szCs w:val="20"/>
        </w:rPr>
        <w:t>número….</w:t>
      </w:r>
      <w:proofErr w:type="gramEnd"/>
      <w:r w:rsidR="00E1205E" w:rsidRPr="001C0789">
        <w:rPr>
          <w:rFonts w:ascii="Arial" w:hAnsi="Arial" w:cs="Arial"/>
          <w:sz w:val="20"/>
          <w:szCs w:val="20"/>
        </w:rPr>
        <w:t xml:space="preserve">, realizado al amparo de lo establecido en los artículos 134 de la Constitución Política de los Estados Unidos Mexicanos </w:t>
      </w:r>
      <w:r w:rsidR="00E1205E" w:rsidRPr="00A947BD">
        <w:rPr>
          <w:rFonts w:ascii="Arial" w:hAnsi="Arial" w:cs="Arial"/>
          <w:sz w:val="20"/>
          <w:szCs w:val="20"/>
        </w:rPr>
        <w:t>30, fracción I</w:t>
      </w:r>
      <w:r w:rsidR="00E1205E">
        <w:rPr>
          <w:rFonts w:ascii="Arial" w:hAnsi="Arial" w:cs="Arial"/>
          <w:sz w:val="20"/>
          <w:szCs w:val="20"/>
        </w:rPr>
        <w:t xml:space="preserve">I, 32 párrafo segundo </w:t>
      </w:r>
      <w:r w:rsidR="00E1205E" w:rsidRPr="00A947BD">
        <w:rPr>
          <w:rFonts w:ascii="Arial" w:hAnsi="Arial" w:cs="Arial"/>
          <w:sz w:val="20"/>
          <w:szCs w:val="20"/>
        </w:rPr>
        <w:t xml:space="preserve">y </w:t>
      </w:r>
      <w:r w:rsidR="00E1205E">
        <w:rPr>
          <w:rFonts w:ascii="Arial" w:hAnsi="Arial" w:cs="Arial"/>
          <w:sz w:val="20"/>
          <w:szCs w:val="20"/>
        </w:rPr>
        <w:t>53</w:t>
      </w:r>
      <w:r w:rsidR="00E1205E" w:rsidRPr="00A947BD">
        <w:rPr>
          <w:rFonts w:ascii="Arial" w:hAnsi="Arial" w:cs="Arial"/>
          <w:sz w:val="20"/>
          <w:szCs w:val="20"/>
        </w:rPr>
        <w:t xml:space="preserve">, fracción </w:t>
      </w:r>
      <w:r w:rsidR="00E1205E">
        <w:rPr>
          <w:rFonts w:ascii="Arial" w:hAnsi="Arial" w:cs="Arial"/>
          <w:sz w:val="20"/>
          <w:szCs w:val="20"/>
        </w:rPr>
        <w:t>I</w:t>
      </w:r>
      <w:r w:rsidR="00E1205E" w:rsidRPr="00A947BD">
        <w:rPr>
          <w:rFonts w:ascii="Arial" w:hAnsi="Arial" w:cs="Arial"/>
          <w:sz w:val="20"/>
          <w:szCs w:val="20"/>
        </w:rPr>
        <w:t>I</w:t>
      </w:r>
      <w:r w:rsidR="00E1205E">
        <w:rPr>
          <w:rFonts w:ascii="Arial" w:hAnsi="Arial" w:cs="Arial"/>
          <w:sz w:val="20"/>
          <w:szCs w:val="20"/>
        </w:rPr>
        <w:t xml:space="preserve">, </w:t>
      </w:r>
      <w:r w:rsidR="00E1205E" w:rsidRPr="001C0789">
        <w:rPr>
          <w:rFonts w:ascii="Arial" w:hAnsi="Arial" w:cs="Arial"/>
          <w:sz w:val="20"/>
          <w:szCs w:val="20"/>
        </w:rPr>
        <w:t xml:space="preserve">de la Ley de Obra Pública y Servicios Relacionados con la Misma para el Estado de Durango y sus Municipios </w:t>
      </w:r>
      <w:r w:rsidR="00E1205E" w:rsidRPr="001C0789">
        <w:rPr>
          <w:rFonts w:ascii="Arial" w:hAnsi="Arial" w:cs="Arial"/>
          <w:b/>
          <w:bCs/>
          <w:sz w:val="20"/>
          <w:szCs w:val="20"/>
        </w:rPr>
        <w:t>“LOPSRMEM”</w:t>
      </w:r>
      <w:r w:rsidR="00E1205E" w:rsidRPr="001C0789">
        <w:rPr>
          <w:rFonts w:ascii="Arial" w:hAnsi="Arial" w:cs="Arial"/>
          <w:sz w:val="20"/>
          <w:szCs w:val="20"/>
        </w:rPr>
        <w:t>.</w:t>
      </w:r>
    </w:p>
    <w:p w14:paraId="42435C3F" w14:textId="77777777" w:rsidR="00E1205E" w:rsidRDefault="00E1205E" w:rsidP="00415D7C">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137DF490" w14:textId="496E2094" w:rsidR="00E1205E" w:rsidRPr="00E1205E" w:rsidRDefault="00EE552E" w:rsidP="00E1205E">
      <w:pPr>
        <w:ind w:left="540" w:right="-234" w:hanging="540"/>
        <w:jc w:val="both"/>
        <w:rPr>
          <w:rFonts w:ascii="Arial Narrow" w:eastAsia="Calibri" w:hAnsi="Arial Narrow" w:cs="Times New Roman"/>
          <w:lang w:val="es-MX"/>
        </w:rPr>
      </w:pPr>
      <w:r w:rsidRPr="001C0789">
        <w:rPr>
          <w:rFonts w:ascii="Arial" w:hAnsi="Arial" w:cs="Arial"/>
          <w:sz w:val="20"/>
          <w:szCs w:val="20"/>
        </w:rPr>
        <w:t>1.4.-</w:t>
      </w:r>
      <w:r w:rsidR="00E1205E" w:rsidRPr="00E1205E">
        <w:rPr>
          <w:rFonts w:ascii="Arial Narrow" w:eastAsia="Calibri" w:hAnsi="Arial Narrow" w:cs="Times New Roman"/>
          <w:lang w:val="es-MX"/>
        </w:rPr>
        <w:t xml:space="preserve"> </w:t>
      </w:r>
      <w:r w:rsidR="00E1205E" w:rsidRPr="00E1205E">
        <w:rPr>
          <w:rFonts w:ascii="Arial Narrow" w:eastAsia="Calibri" w:hAnsi="Arial Narrow" w:cs="Times New Roman"/>
          <w:lang w:val="es-MX"/>
        </w:rPr>
        <w:t>Su domicilio, para los efectos del presente contrato es el ubicado en la confluencia de las calles Del Parque y De La Loza s/n, perteneciente a la Colonia Los Ángeles de la Ciudad de Durango, Durango. Manifestando además que el domicilio fiscal del Gobierno del Estado de Durango es Blvd. Felipe Pescador No. 800 pte., zona centro en la ciudad de Durango, Dgo.</w:t>
      </w:r>
    </w:p>
    <w:p w14:paraId="621BE784" w14:textId="77777777" w:rsidR="00E1205E" w:rsidRPr="00E1205E" w:rsidRDefault="00E1205E" w:rsidP="00E1205E">
      <w:pPr>
        <w:spacing w:after="200" w:line="276" w:lineRule="auto"/>
        <w:ind w:left="540" w:right="-234"/>
        <w:jc w:val="both"/>
        <w:rPr>
          <w:rFonts w:ascii="Arial Narrow" w:eastAsia="Calibri" w:hAnsi="Arial Narrow" w:cs="Times New Roman"/>
          <w:lang w:val="es-MX"/>
        </w:rPr>
      </w:pPr>
      <w:r w:rsidRPr="00E1205E">
        <w:rPr>
          <w:rFonts w:ascii="Arial Narrow" w:eastAsia="Calibri" w:hAnsi="Arial Narrow" w:cs="Times New Roman"/>
          <w:b/>
          <w:bCs/>
          <w:lang w:val="es-MX"/>
        </w:rPr>
        <w:t>II.</w:t>
      </w:r>
      <w:proofErr w:type="gramStart"/>
      <w:r w:rsidRPr="00E1205E">
        <w:rPr>
          <w:rFonts w:ascii="Arial Narrow" w:eastAsia="Calibri" w:hAnsi="Arial Narrow" w:cs="Times New Roman"/>
          <w:b/>
          <w:bCs/>
          <w:lang w:val="es-MX"/>
        </w:rPr>
        <w:t>-“</w:t>
      </w:r>
      <w:proofErr w:type="gramEnd"/>
      <w:r w:rsidRPr="00E1205E">
        <w:rPr>
          <w:rFonts w:ascii="Arial Narrow" w:eastAsia="Calibri" w:hAnsi="Arial Narrow" w:cs="Times New Roman"/>
          <w:b/>
          <w:bCs/>
          <w:lang w:val="es-MX"/>
        </w:rPr>
        <w:t xml:space="preserve">EL DIF ESTATAL” </w:t>
      </w:r>
      <w:r w:rsidRPr="00E1205E">
        <w:rPr>
          <w:rFonts w:ascii="Arial Narrow" w:eastAsia="Calibri" w:hAnsi="Arial Narrow" w:cs="Times New Roman"/>
          <w:lang w:val="es-MX"/>
        </w:rPr>
        <w:t>DECLARA QUE:</w:t>
      </w:r>
    </w:p>
    <w:p w14:paraId="638D9D6D" w14:textId="77777777" w:rsidR="00E1205E" w:rsidRPr="00E1205E" w:rsidRDefault="00E1205E" w:rsidP="00E1205E">
      <w:pPr>
        <w:spacing w:after="200" w:line="276" w:lineRule="auto"/>
        <w:ind w:left="540" w:right="-234"/>
        <w:jc w:val="both"/>
        <w:rPr>
          <w:rFonts w:ascii="Arial Narrow" w:eastAsia="Calibri" w:hAnsi="Arial Narrow" w:cs="Times New Roman"/>
          <w:lang w:val="es-MX"/>
        </w:rPr>
      </w:pPr>
      <w:r w:rsidRPr="00E1205E">
        <w:rPr>
          <w:rFonts w:ascii="Arial Narrow" w:eastAsia="Calibri" w:hAnsi="Arial Narrow" w:cs="Times New Roman"/>
          <w:lang w:val="es-MX"/>
        </w:rPr>
        <w:t xml:space="preserve"> </w:t>
      </w:r>
      <w:r w:rsidRPr="00E1205E">
        <w:rPr>
          <w:rFonts w:ascii="Arial Narrow" w:eastAsia="Calibri" w:hAnsi="Arial Narrow" w:cs="Times New Roman"/>
          <w:b/>
          <w:lang w:val="es-MX"/>
        </w:rPr>
        <w:t>II.I.</w:t>
      </w:r>
      <w:proofErr w:type="gramStart"/>
      <w:r w:rsidRPr="00E1205E">
        <w:rPr>
          <w:rFonts w:ascii="Arial Narrow" w:eastAsia="Calibri" w:hAnsi="Arial Narrow" w:cs="Times New Roman"/>
          <w:b/>
          <w:lang w:val="es-MX"/>
        </w:rPr>
        <w:t>-</w:t>
      </w:r>
      <w:r w:rsidRPr="00E1205E">
        <w:rPr>
          <w:rFonts w:ascii="Arial Narrow" w:eastAsia="Calibri" w:hAnsi="Arial Narrow" w:cs="Times New Roman"/>
          <w:lang w:val="es-MX"/>
        </w:rPr>
        <w:t xml:space="preserve">  Por</w:t>
      </w:r>
      <w:proofErr w:type="gramEnd"/>
      <w:r w:rsidRPr="00E1205E">
        <w:rPr>
          <w:rFonts w:ascii="Arial Narrow" w:eastAsia="Calibri" w:hAnsi="Arial Narrow" w:cs="Times New Roman"/>
          <w:lang w:val="es-MX"/>
        </w:rPr>
        <w:t xml:space="preserve"> parte del “DIF ESTATAL”,  declara; Su representante LA L.T.S. MARIA DEL CARMEN ARRIETA BRISEÑO que justifica su personalidad que ostenta con el nombramiento de fecha 29 DE AGOSTO DE 2023, expedido por el DR. ESTEBAN ALEJANDRO VILLEGAS VILLARREAL, Gobernador del Estado de Durango, al tenor de lo establecido en el art. 22 fracc. III, 34 fracc. VIII y 35 de la ley de asistencia social, artículos 19, 26, 27 fracción I y </w:t>
      </w:r>
      <w:proofErr w:type="gramStart"/>
      <w:r w:rsidRPr="00E1205E">
        <w:rPr>
          <w:rFonts w:ascii="Arial Narrow" w:eastAsia="Calibri" w:hAnsi="Arial Narrow" w:cs="Times New Roman"/>
          <w:lang w:val="es-MX"/>
        </w:rPr>
        <w:t>29  de</w:t>
      </w:r>
      <w:proofErr w:type="gramEnd"/>
      <w:r w:rsidRPr="00E1205E">
        <w:rPr>
          <w:rFonts w:ascii="Arial Narrow" w:eastAsia="Calibri" w:hAnsi="Arial Narrow" w:cs="Times New Roman"/>
          <w:lang w:val="es-MX"/>
        </w:rPr>
        <w:t xml:space="preserve"> la Ley de entidades paraestatales del estado de Durango, así como los artículos 4 fracc. I, 5 fracc. II, 21 fracc V, VI, XI, XX el reglamento interno del sistema “DIF ESTATAL”, se encuentra plenamente facultada para suscribir el presente convenio, así mismo es asistida por el Lic. Arturo Gaytán Zaldívar en su carácter de director administrativo quien acredita su nombramiento expedido por parte del “DIF ESTATAL”, que señala como su domicilio fiscal el Blvd. José María Patoni 105, colonia no especificada, C.P. 34217, Victoria de Durango, Durango. Y su RFC es SDI770101IV9.</w:t>
      </w:r>
    </w:p>
    <w:p w14:paraId="4ADD3CB5" w14:textId="77777777" w:rsidR="00E1205E" w:rsidRPr="00E1205E" w:rsidRDefault="00E1205E" w:rsidP="00E1205E">
      <w:pPr>
        <w:spacing w:after="200" w:line="276" w:lineRule="auto"/>
        <w:ind w:left="567" w:right="-234"/>
        <w:jc w:val="both"/>
        <w:rPr>
          <w:rFonts w:ascii="Arial Narrow" w:eastAsia="Montserrat" w:hAnsi="Arial Narrow" w:cs="Arial"/>
          <w:bCs/>
          <w:color w:val="FF0000"/>
          <w:lang w:val="es-MX"/>
        </w:rPr>
      </w:pPr>
      <w:r w:rsidRPr="00E1205E">
        <w:rPr>
          <w:rFonts w:ascii="Arial Narrow" w:eastAsia="Calibri" w:hAnsi="Arial Narrow" w:cs="Times New Roman"/>
          <w:b/>
          <w:lang w:val="es-MX"/>
        </w:rPr>
        <w:t>II.2.-</w:t>
      </w:r>
      <w:r w:rsidRPr="00E1205E">
        <w:rPr>
          <w:rFonts w:ascii="Arial Narrow" w:eastAsia="Calibri" w:hAnsi="Arial Narrow" w:cs="Times New Roman"/>
          <w:lang w:val="es-MX"/>
        </w:rPr>
        <w:t xml:space="preserve"> </w:t>
      </w:r>
      <w:r w:rsidRPr="00E1205E">
        <w:rPr>
          <w:rFonts w:ascii="Arial Narrow" w:eastAsia="Montserrat" w:hAnsi="Arial Narrow" w:cs="Arial"/>
          <w:lang w:val="es-MX"/>
        </w:rPr>
        <w:t>Garantizará que el inmueble en que se llevará a cabo el desarrollo del proyecto objeto del presente instrumento, no presente impedimento legal alguno para su ejecución y lo pondrá a disposición de “</w:t>
      </w:r>
      <w:r w:rsidRPr="00E1205E">
        <w:rPr>
          <w:rFonts w:ascii="Arial Narrow" w:eastAsia="Montserrat" w:hAnsi="Arial Narrow" w:cs="Arial"/>
          <w:b/>
          <w:bCs/>
          <w:lang w:val="es-MX"/>
        </w:rPr>
        <w:t xml:space="preserve">LAS PARTES” </w:t>
      </w:r>
      <w:r w:rsidRPr="00E1205E">
        <w:rPr>
          <w:rFonts w:ascii="Arial Narrow" w:eastAsia="Montserrat" w:hAnsi="Arial Narrow" w:cs="Arial"/>
          <w:bCs/>
          <w:lang w:val="es-MX"/>
        </w:rPr>
        <w:t xml:space="preserve">el cual se encuentra ubicado en Predio los arroyos fracción l-184 Manzana s/n No. 121 int. </w:t>
      </w:r>
      <w:r w:rsidRPr="00E1205E">
        <w:rPr>
          <w:rFonts w:ascii="Arial Narrow" w:eastAsia="Montserrat" w:hAnsi="Arial Narrow" w:cs="Arial"/>
          <w:bCs/>
          <w:color w:val="FF0000"/>
          <w:lang w:val="es-MX"/>
        </w:rPr>
        <w:t>1, en la ciudad de Durango, Dgo.,</w:t>
      </w:r>
    </w:p>
    <w:p w14:paraId="37C04CCB" w14:textId="246ECAF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 La adjudicación del presente contrato se realizó mediante el procedimiento de </w:t>
      </w:r>
      <w:r w:rsidR="00045EF3">
        <w:rPr>
          <w:rFonts w:ascii="Arial" w:hAnsi="Arial" w:cs="Arial"/>
          <w:sz w:val="20"/>
          <w:szCs w:val="20"/>
        </w:rPr>
        <w:t xml:space="preserve">INVITACION A CUANDO MENOS TRES PERSONAS </w:t>
      </w:r>
      <w:proofErr w:type="gramStart"/>
      <w:r w:rsidR="00045EF3" w:rsidRPr="001C0789">
        <w:rPr>
          <w:rFonts w:ascii="Arial" w:hAnsi="Arial" w:cs="Arial"/>
          <w:sz w:val="20"/>
          <w:szCs w:val="20"/>
        </w:rPr>
        <w:t>número…</w:t>
      </w:r>
      <w:r w:rsidRPr="001C0789">
        <w:rPr>
          <w:rFonts w:ascii="Arial" w:hAnsi="Arial" w:cs="Arial"/>
          <w:sz w:val="20"/>
          <w:szCs w:val="20"/>
        </w:rPr>
        <w:t>.</w:t>
      </w:r>
      <w:proofErr w:type="gramEnd"/>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lastRenderedPageBreak/>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Loza sin número, perteneciente a la Colonia Los Ángeles en la Ciudad de Durango, Dgo.,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0C6231B0"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r w:rsidR="00F91F08">
        <w:rPr>
          <w:rFonts w:ascii="Arial" w:hAnsi="Arial" w:cs="Arial"/>
          <w:sz w:val="20"/>
          <w:szCs w:val="20"/>
        </w:rPr>
        <w:t>.</w:t>
      </w:r>
      <w:r w:rsidR="00624B6A">
        <w:rPr>
          <w:rFonts w:ascii="Arial" w:hAnsi="Arial" w:cs="Arial"/>
          <w:sz w:val="20"/>
          <w:szCs w:val="20"/>
        </w:rPr>
        <w:t>P</w:t>
      </w:r>
      <w:r w:rsidR="00F91F08">
        <w:rPr>
          <w:rFonts w:ascii="Arial" w:hAnsi="Arial" w:cs="Arial"/>
          <w:sz w:val="20"/>
          <w:szCs w:val="20"/>
        </w:rPr>
        <w:t>.</w:t>
      </w:r>
      <w:r w:rsidR="00624B6A">
        <w:rPr>
          <w:rFonts w:ascii="Arial" w:hAnsi="Arial" w:cs="Arial"/>
          <w:sz w:val="20"/>
          <w:szCs w:val="20"/>
        </w:rPr>
        <w:t xml:space="preserve">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N° ….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 en</w:t>
      </w:r>
      <w:proofErr w:type="gramEnd"/>
      <w:r w:rsidR="00001F51" w:rsidRPr="00001F51">
        <w:rPr>
          <w:rFonts w:ascii="Arial" w:hAnsi="Arial" w:cs="Arial"/>
          <w:b/>
          <w:sz w:val="20"/>
          <w:szCs w:val="20"/>
        </w:rPr>
        <w:t xml:space="preserve">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r w:rsidR="009C3367">
        <w:rPr>
          <w:rFonts w:ascii="Arial" w:hAnsi="Arial" w:cs="Arial"/>
          <w:sz w:val="20"/>
          <w:szCs w:val="20"/>
        </w:rPr>
        <w:t>xxxxxxxxx</w:t>
      </w:r>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en su carácter de …….cuenta con facultades suficientes para suscribir el presente contrato y obligar a su representada en los términos del presente instrumento, lo cual acredita mediante la Escritura Pública N° …., de fecha …..de ….. de 20…, otorgada ante la fe del Notario Público N°</w:t>
      </w:r>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.y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r w:rsidR="009C3367" w:rsidRPr="009C3367">
        <w:rPr>
          <w:rFonts w:ascii="Arial" w:hAnsi="Arial" w:cs="Arial"/>
          <w:b/>
          <w:sz w:val="20"/>
          <w:szCs w:val="20"/>
        </w:rPr>
        <w:t>en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lastRenderedPageBreak/>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t>2.10</w:t>
      </w:r>
      <w:r w:rsidR="00EE552E">
        <w:rPr>
          <w:rFonts w:ascii="Arial" w:hAnsi="Arial" w:cs="Arial"/>
          <w:sz w:val="20"/>
          <w:szCs w:val="20"/>
        </w:rPr>
        <w:t>.- Señala como su domicilio, para todos los efectos legales derivados del presente contrato el ubicado en …………………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w:t>
      </w:r>
      <w:proofErr w:type="gramStart"/>
      <w:r w:rsidR="00D13DEC">
        <w:rPr>
          <w:rFonts w:ascii="Arial" w:hAnsi="Arial" w:cs="Arial"/>
          <w:sz w:val="20"/>
          <w:szCs w:val="20"/>
        </w:rPr>
        <w:t>subcontratarán.(</w:t>
      </w:r>
      <w:proofErr w:type="gramEnd"/>
      <w:r w:rsidR="00D13DEC">
        <w:rPr>
          <w:rFonts w:ascii="Arial" w:hAnsi="Arial" w:cs="Arial"/>
          <w:sz w:val="20"/>
          <w:szCs w:val="20"/>
        </w:rPr>
        <w:t>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lastRenderedPageBreak/>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lastRenderedPageBreak/>
        <w:t>“EL CONTRATISTA”</w:t>
      </w:r>
      <w:r w:rsidRPr="00045EF3">
        <w:rPr>
          <w:rFonts w:ascii="Arial" w:hAnsi="Arial" w:cs="Arial"/>
          <w:sz w:val="20"/>
          <w:szCs w:val="20"/>
        </w:rPr>
        <w:t xml:space="preserve"> se obliga a realizar los trabajos materia del presente contrato en un plazo que no excederá de …. (…….)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 xml:space="preserve">“EL </w:t>
      </w:r>
      <w:r w:rsidR="003B21BC" w:rsidRPr="00641CB1">
        <w:rPr>
          <w:rFonts w:ascii="Arial" w:hAnsi="Arial" w:cs="Arial"/>
          <w:b/>
          <w:bCs/>
          <w:sz w:val="20"/>
          <w:szCs w:val="20"/>
        </w:rPr>
        <w:lastRenderedPageBreak/>
        <w:t>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Durango, Dgo.,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w:t>
      </w:r>
      <w:r w:rsidRPr="00641CB1">
        <w:rPr>
          <w:rFonts w:ascii="Arial" w:hAnsi="Arial" w:cs="Arial"/>
        </w:rPr>
        <w:lastRenderedPageBreak/>
        <w:t xml:space="preserve">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w:t>
      </w:r>
      <w:r w:rsidRPr="00641CB1">
        <w:rPr>
          <w:rFonts w:ascii="Arial" w:hAnsi="Arial" w:cs="Arial"/>
          <w:sz w:val="20"/>
          <w:szCs w:val="20"/>
        </w:rPr>
        <w:lastRenderedPageBreak/>
        <w:t>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xml:space="preserve">,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w:t>
      </w:r>
      <w:r w:rsidRPr="00641CB1">
        <w:rPr>
          <w:rFonts w:ascii="Arial" w:hAnsi="Arial" w:cs="Arial"/>
          <w:sz w:val="20"/>
          <w:szCs w:val="20"/>
        </w:rPr>
        <w:lastRenderedPageBreak/>
        <w:t>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82FC20B" w14:textId="2D925212" w:rsidR="0094274F" w:rsidRDefault="000927C0"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Pte.,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1FFDD77D" w14:textId="65200369" w:rsidR="008B6DEC" w:rsidRPr="00641CB1" w:rsidRDefault="008B6DEC" w:rsidP="00594143">
      <w:pPr>
        <w:spacing w:line="276" w:lineRule="auto"/>
        <w:jc w:val="both"/>
        <w:rPr>
          <w:rFonts w:ascii="Arial" w:hAnsi="Arial" w:cs="Arial"/>
          <w:sz w:val="20"/>
          <w:szCs w:val="20"/>
        </w:rPr>
      </w:pP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 de</w:t>
      </w:r>
      <w:proofErr w:type="gramStart"/>
      <w:r w:rsidR="00FC273E" w:rsidRPr="00641CB1">
        <w:rPr>
          <w:rFonts w:ascii="Arial" w:hAnsi="Arial" w:cs="Arial"/>
          <w:sz w:val="20"/>
          <w:szCs w:val="20"/>
        </w:rPr>
        <w:t xml:space="preserve"> ….</w:t>
      </w:r>
      <w:proofErr w:type="gramEnd"/>
      <w:r w:rsidR="00FC273E" w:rsidRPr="00641CB1">
        <w:rPr>
          <w:rFonts w:ascii="Arial" w:hAnsi="Arial" w:cs="Arial"/>
          <w:sz w:val="20"/>
          <w:szCs w:val="20"/>
        </w:rPr>
        <w:t>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w:t>
      </w:r>
      <w:r w:rsidRPr="00641CB1">
        <w:rPr>
          <w:rFonts w:ascii="Arial" w:hAnsi="Arial" w:cs="Arial"/>
          <w:b/>
          <w:bCs/>
          <w:sz w:val="20"/>
          <w:szCs w:val="20"/>
        </w:rPr>
        <w:lastRenderedPageBreak/>
        <w:t xml:space="preserve">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lastRenderedPageBreak/>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w:t>
      </w:r>
      <w:r w:rsidR="00B86D41" w:rsidRPr="00641CB1">
        <w:rPr>
          <w:rFonts w:ascii="Arial" w:hAnsi="Arial" w:cs="Arial"/>
          <w:sz w:val="20"/>
          <w:szCs w:val="20"/>
        </w:rPr>
        <w:lastRenderedPageBreak/>
        <w:t xml:space="preserve">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w:t>
      </w:r>
      <w:r w:rsidRPr="00641CB1">
        <w:rPr>
          <w:rFonts w:ascii="Arial" w:hAnsi="Arial" w:cs="Arial"/>
          <w:sz w:val="20"/>
          <w:szCs w:val="20"/>
        </w:rPr>
        <w:lastRenderedPageBreak/>
        <w:t xml:space="preserve">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w:t>
      </w:r>
      <w:r w:rsidRPr="00641CB1">
        <w:rPr>
          <w:rFonts w:ascii="Arial" w:hAnsi="Arial" w:cs="Arial"/>
          <w:sz w:val="20"/>
          <w:szCs w:val="20"/>
        </w:rPr>
        <w:lastRenderedPageBreak/>
        <w:t xml:space="preserve">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lastRenderedPageBreak/>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r w:rsidRPr="00641CB1">
        <w:rPr>
          <w:rFonts w:ascii="Arial" w:hAnsi="Arial" w:cs="Arial"/>
          <w:sz w:val="20"/>
          <w:szCs w:val="20"/>
        </w:rPr>
        <w:t>c).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lastRenderedPageBreak/>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w:t>
      </w:r>
      <w:r w:rsidR="007B57BD" w:rsidRPr="00641CB1">
        <w:rPr>
          <w:rFonts w:ascii="Arial" w:hAnsi="Arial" w:cs="Arial"/>
          <w:sz w:val="20"/>
          <w:szCs w:val="20"/>
        </w:rPr>
        <w:lastRenderedPageBreak/>
        <w:t xml:space="preserve">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lastRenderedPageBreak/>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lastRenderedPageBreak/>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r w:rsidRPr="00001F51">
              <w:rPr>
                <w:rFonts w:ascii="Arial" w:hAnsi="Arial" w:cs="Arial"/>
                <w:bCs/>
                <w:color w:val="FF0000"/>
              </w:rPr>
              <w:t>Cc xxxxxxxxxxxxxxxxxxxxxx</w:t>
            </w:r>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DAC46" w14:textId="77777777" w:rsidR="00FC73E1" w:rsidRDefault="00FC73E1" w:rsidP="00503AEB">
      <w:r>
        <w:separator/>
      </w:r>
    </w:p>
  </w:endnote>
  <w:endnote w:type="continuationSeparator" w:id="0">
    <w:p w14:paraId="5A42B19F" w14:textId="77777777" w:rsidR="00FC73E1" w:rsidRDefault="00FC73E1"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15180" w14:textId="77777777" w:rsidR="00FC73E1" w:rsidRDefault="00FC73E1" w:rsidP="00503AEB">
      <w:r>
        <w:separator/>
      </w:r>
    </w:p>
  </w:footnote>
  <w:footnote w:type="continuationSeparator" w:id="0">
    <w:p w14:paraId="53B1BECA" w14:textId="77777777" w:rsidR="00FC73E1" w:rsidRDefault="00FC73E1"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82npP4AQAAyw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0B1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555DE"/>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26C1"/>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23A8"/>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05E"/>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1F08"/>
    <w:rsid w:val="00F92AA8"/>
    <w:rsid w:val="00F93767"/>
    <w:rsid w:val="00F93BC6"/>
    <w:rsid w:val="00F9756B"/>
    <w:rsid w:val="00FA55E4"/>
    <w:rsid w:val="00FB257B"/>
    <w:rsid w:val="00FB350A"/>
    <w:rsid w:val="00FB3FBF"/>
    <w:rsid w:val="00FC1FC4"/>
    <w:rsid w:val="00FC273E"/>
    <w:rsid w:val="00FC3155"/>
    <w:rsid w:val="00FC369B"/>
    <w:rsid w:val="00FC73E1"/>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026B-90AE-4D8C-9A22-B0DB9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1606</TotalTime>
  <Pages>30</Pages>
  <Words>10880</Words>
  <Characters>59843</Characters>
  <Application>Microsoft Office Word</Application>
  <DocSecurity>0</DocSecurity>
  <Lines>498</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119</cp:revision>
  <cp:lastPrinted>2023-03-17T16:34:00Z</cp:lastPrinted>
  <dcterms:created xsi:type="dcterms:W3CDTF">2023-06-22T15:01:00Z</dcterms:created>
  <dcterms:modified xsi:type="dcterms:W3CDTF">2025-06-23T21:19:00Z</dcterms:modified>
</cp:coreProperties>
</file>